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IL </w:t>
      </w: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rtl w:val="0"/>
        </w:rPr>
        <w:t xml:space="preserve">PROGRAMMA OFF!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DI LUCCA COMICS &amp; GAMES</w:t>
      </w:r>
    </w:p>
    <w:p w:rsidR="00000000" w:rsidDel="00000000" w:rsidP="00000000" w:rsidRDefault="00000000" w:rsidRPr="00000000" w14:paraId="00000003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Dopo la risposta positiva delle community durante gli oltre 70 eventi di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Lucca ChanGes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proposti e organizzati dagli stessi fan del Festival che sono andati a un vero e proprio palinsesto di eventi non ufficiali (digitali o dal vivo), torna il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PROGRAMMA OFF!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Questa nuova e ulteriore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modalità di inclusione al festival comprenderà una serie di attività online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Digital-OFF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 live in tutta Italia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Any-OFF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 </w:t>
      </w:r>
    </w:p>
    <w:p w:rsidR="00000000" w:rsidDel="00000000" w:rsidP="00000000" w:rsidRDefault="00000000" w:rsidRPr="00000000" w14:paraId="00000004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Proporsi come “attività OFF!” è semplice: basta inviare una mail a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programmaoff@luccachanges.com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(indicando descrizione dettagliata dell’attività, luogo/piattaforma, data/e e orario/i nei giorni del Festival): tutte le richieste saranno valutate.</w:t>
      </w:r>
    </w:p>
    <w:p w:rsidR="00000000" w:rsidDel="00000000" w:rsidP="00000000" w:rsidRDefault="00000000" w:rsidRPr="00000000" w14:paraId="00000005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Programma OFF!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sarà quindi popolato da attività attinenti agli universi del Festival e proposte dalla comunità che si svolgeranno dal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29 ottobre al 1° novembre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in concomitanza con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Lucca Comics &amp; Games 2021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ad esempio con sessioni di gioco su Discord, panel e talk, o dirette Twitch (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Digital-OFF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o con attività nelle associazioni ludiche, biblioteche o musei (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Any-OFF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 </w:t>
      </w:r>
    </w:p>
    <w:p w:rsidR="00000000" w:rsidDel="00000000" w:rsidP="00000000" w:rsidRDefault="00000000" w:rsidRPr="00000000" w14:paraId="00000006">
      <w:pPr>
        <w:spacing w:after="200" w:before="200" w:line="240" w:lineRule="auto"/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Modalità di partecipazione</w:t>
      </w:r>
    </w:p>
    <w:p w:rsidR="00000000" w:rsidDel="00000000" w:rsidP="00000000" w:rsidRDefault="00000000" w:rsidRPr="00000000" w14:paraId="00000007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Gli organizzatori proponenti un evento OFF! potranno essere privati, associazioni, esercenti, enti locali.</w:t>
      </w:r>
    </w:p>
    <w:p w:rsidR="00000000" w:rsidDel="00000000" w:rsidP="00000000" w:rsidRDefault="00000000" w:rsidRPr="00000000" w14:paraId="00000008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Sarà possibile essere inseriti GRATUITAMENTE nel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Programma OFF!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nei giorni concomitanti a Lucca Comics &amp; Games nelle due modalità: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00" w:line="240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Digital-OFF!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tutte le attività di tipo virtuale, ovvero tornei di videogiochi o sessioni di gioco live su piattaforme online (es. Discord), Sessioni di gioco o panel/talk/presentazione/tutorial di settore in live streaming o video caricati su canali digitali (es. Twitch, Youtube, ecc.).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00" w:before="0" w:beforeAutospacing="0" w:line="240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Any-OFF!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attività su tutto il territorio nazionale come mostre, incontri, panel, attività ludiche o creative all’interno di location come musei, biblioteche, locali, associazioni, locali privati, ecc.</w:t>
      </w:r>
    </w:p>
    <w:p w:rsidR="00000000" w:rsidDel="00000000" w:rsidP="00000000" w:rsidRDefault="00000000" w:rsidRPr="00000000" w14:paraId="0000000B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staff di Lucca ChanGes valuterà le proposte e ne comunicherà l’approvazione quanto prima: fino alla risposta formale di approvazione, l’iniziativa non potrà essere considerata inserita nel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Programma OFF!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.</w:t>
      </w:r>
    </w:p>
    <w:p w:rsidR="00000000" w:rsidDel="00000000" w:rsidP="00000000" w:rsidRDefault="00000000" w:rsidRPr="00000000" w14:paraId="0000000C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Non saranno accettate attività che non rispettino il codice etico di Lucca Crea srl o i cinque valori di Lucca Comics &amp; Games o che non siano attinenti ai mondi di riferimento del Festival (es. attività di promozione artistica, commerciale e culturale del fumetto, dell’illustrazione del cinema di animazione e del gioco, ecc.). </w:t>
      </w:r>
    </w:p>
    <w:p w:rsidR="00000000" w:rsidDel="00000000" w:rsidP="00000000" w:rsidRDefault="00000000" w:rsidRPr="00000000" w14:paraId="0000000D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 seguito all’approvazione di un’attività, l’organizzatore proponente riceverà un documento da compilare e inviare a Lucca Crea srl. </w:t>
      </w:r>
    </w:p>
    <w:p w:rsidR="00000000" w:rsidDel="00000000" w:rsidP="00000000" w:rsidRDefault="00000000" w:rsidRPr="00000000" w14:paraId="0000000E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Nel caso in cui gli eventi non rispettino quanto delineato, Lucca Crea srl si riserva di inviare una lettera di diffida. L’organizzazione declina ogni responsabilità delle attività e non sarà inoltre responsabile per qualsiasi fatto ed episodio che si verificherà durante lo svolgimento degli eventi “OFF!”.</w:t>
      </w:r>
    </w:p>
    <w:p w:rsidR="00000000" w:rsidDel="00000000" w:rsidP="00000000" w:rsidRDefault="00000000" w:rsidRPr="00000000" w14:paraId="0000000F">
      <w:pPr>
        <w:spacing w:after="200" w:before="200" w:line="24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L’organizzatore proponente dell’evento dovrà provvedere autonomamente a diffondere la documentazione relativa ai protocolli di sicurezza e contenimento dell’epidemia di Covid-19 e al rispetto degli stessi durante il suo evento.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#LuccaCG21 #Light #Arivederlestelle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www.luccacomicsandgames.com</w:t>
        <w:br w:type="textWrapping"/>
        <w:t xml:space="preserve">Restate sintonizzati, iscrivetevi alla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newsletter di Lucca Comics &amp; Games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FB e IG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@luccacomicsandgames;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@LuccaCandG;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Twitch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LuccaComicsAndGames 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even"/>
      <w:footerReference r:id="rId9" w:type="default"/>
      <w:footerReference r:id="rId10" w:type="even"/>
      <w:pgSz w:h="16817" w:w="11901" w:orient="portrait"/>
      <w:pgMar w:bottom="284" w:top="567" w:left="624" w:right="624" w:header="335" w:footer="11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hd w:fill="ffffff" w:val="clear"/>
      <w:tabs>
        <w:tab w:val="center" w:pos="4819"/>
        <w:tab w:val="right" w:pos="9638"/>
      </w:tabs>
      <w:rPr/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0" distT="0" distL="0" distR="0">
          <wp:extent cx="6413373" cy="659256"/>
          <wp:effectExtent b="0" l="0" r="0" t="0"/>
          <wp:docPr descr="image1.png" id="56" name="image3.png"/>
          <a:graphic>
            <a:graphicData uri="http://schemas.openxmlformats.org/drawingml/2006/picture">
              <pic:pic>
                <pic:nvPicPr>
                  <pic:cNvPr descr="image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hd w:fill="ffffff" w:val="clear"/>
      <w:tabs>
        <w:tab w:val="center" w:pos="4819"/>
        <w:tab w:val="right" w:pos="9638"/>
      </w:tabs>
      <w:rPr/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0" distT="0" distL="0" distR="0">
          <wp:extent cx="6413373" cy="659256"/>
          <wp:effectExtent b="0" l="0" r="0" t="0"/>
          <wp:docPr descr="image1.png" id="52" name="image3.png"/>
          <a:graphic>
            <a:graphicData uri="http://schemas.openxmlformats.org/drawingml/2006/picture">
              <pic:pic>
                <pic:nvPicPr>
                  <pic:cNvPr descr="image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hd w:fill="ffffff" w:val="clear"/>
      <w:tabs>
        <w:tab w:val="center" w:pos="4819"/>
        <w:tab w:val="right" w:pos="9638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shd w:fill="ffffff" w:val="clear"/>
      <w:tabs>
        <w:tab w:val="center" w:pos="4819"/>
        <w:tab w:val="right" w:pos="9638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shd w:fill="ffffff" w:val="clear"/>
      <w:tabs>
        <w:tab w:val="center" w:pos="4819"/>
        <w:tab w:val="right" w:pos="9638"/>
      </w:tabs>
      <w:ind w:firstLine="720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387685</wp:posOffset>
          </wp:positionH>
          <wp:positionV relativeFrom="paragraph">
            <wp:posOffset>-128128</wp:posOffset>
          </wp:positionV>
          <wp:extent cx="1442996" cy="862641"/>
          <wp:effectExtent b="0" l="0" r="0" t="0"/>
          <wp:wrapSquare wrapText="bothSides" distB="0" distT="0" distL="0" distR="0"/>
          <wp:docPr id="5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8">
    <w:pPr>
      <w:shd w:fill="ffffff" w:val="clear"/>
      <w:tabs>
        <w:tab w:val="center" w:pos="4819"/>
        <w:tab w:val="right" w:pos="9638"/>
      </w:tabs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5804499</wp:posOffset>
          </wp:positionH>
          <wp:positionV relativeFrom="page">
            <wp:posOffset>281796</wp:posOffset>
          </wp:positionV>
          <wp:extent cx="1169035" cy="956945"/>
          <wp:effectExtent b="0" l="0" r="0" t="0"/>
          <wp:wrapTopAndBottom distB="0" distT="0"/>
          <wp:docPr id="5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69035" cy="9569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shd w:fill="ffffff" w:val="clear"/>
      <w:tabs>
        <w:tab w:val="center" w:pos="4819"/>
        <w:tab w:val="right" w:pos="9638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shd w:fill="ffffff" w:val="clear"/>
      <w:tabs>
        <w:tab w:val="center" w:pos="4819"/>
        <w:tab w:val="right" w:pos="9638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shd w:fill="ffffff" w:val="clear"/>
      <w:tabs>
        <w:tab w:val="center" w:pos="4819"/>
        <w:tab w:val="right" w:pos="9638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shd w:fill="ffffff" w:val="clear"/>
      <w:tabs>
        <w:tab w:val="center" w:pos="4819"/>
        <w:tab w:val="right" w:pos="9638"/>
      </w:tabs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hd w:fill="ffffff" w:val="clear"/>
      <w:tabs>
        <w:tab w:val="center" w:pos="4819"/>
        <w:tab w:val="right" w:pos="9638"/>
      </w:tabs>
      <w:ind w:right="285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235285</wp:posOffset>
          </wp:positionH>
          <wp:positionV relativeFrom="paragraph">
            <wp:posOffset>11562</wp:posOffset>
          </wp:positionV>
          <wp:extent cx="1442996" cy="862641"/>
          <wp:effectExtent b="0" l="0" r="0" t="0"/>
          <wp:wrapSquare wrapText="bothSides" distB="0" distT="0" distL="0" distR="0"/>
          <wp:docPr id="5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shd w:fill="ffffff" w:val="clear"/>
      <w:tabs>
        <w:tab w:val="center" w:pos="4819"/>
        <w:tab w:val="right" w:pos="9638"/>
      </w:tabs>
      <w:ind w:right="285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shd w:fill="ffffff" w:val="clear"/>
      <w:tabs>
        <w:tab w:val="center" w:pos="4819"/>
        <w:tab w:val="right" w:pos="9638"/>
      </w:tabs>
      <w:ind w:right="285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shd w:fill="ffffff" w:val="clear"/>
      <w:tabs>
        <w:tab w:val="center" w:pos="4819"/>
        <w:tab w:val="right" w:pos="9638"/>
      </w:tabs>
      <w:ind w:right="285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shd w:fill="ffffff" w:val="clear"/>
      <w:tabs>
        <w:tab w:val="center" w:pos="4819"/>
        <w:tab w:val="right" w:pos="9638"/>
      </w:tabs>
      <w:ind w:right="285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shd w:fill="ffffff" w:val="clear"/>
      <w:tabs>
        <w:tab w:val="center" w:pos="4819"/>
        <w:tab w:val="right" w:pos="9638"/>
      </w:tabs>
      <w:ind w:right="285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380BFD"/>
  </w:style>
  <w:style w:type="paragraph" w:styleId="Titolo1">
    <w:name w:val="heading 1"/>
    <w:basedOn w:val="Normale"/>
    <w:next w:val="Normale"/>
    <w:uiPriority w:val="9"/>
    <w:qFormat w:val="1"/>
    <w:rsid w:val="00380BFD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rsid w:val="00380BFD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rsid w:val="00380BFD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rsid w:val="00380BFD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rsid w:val="00380BFD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rsid w:val="00380BFD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380BFD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rsid w:val="00380BFD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uiPriority w:val="11"/>
    <w:qFormat w:val="1"/>
    <w:rsid w:val="00380BFD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380BFD"/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380BFD"/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380BF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3C1B3F"/>
    <w:rPr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3C1B3F"/>
    <w:rPr>
      <w:sz w:val="18"/>
      <w:szCs w:val="18"/>
    </w:rPr>
  </w:style>
  <w:style w:type="paragraph" w:styleId="Revisione">
    <w:name w:val="Revision"/>
    <w:hidden w:val="1"/>
    <w:uiPriority w:val="99"/>
    <w:semiHidden w:val="1"/>
    <w:rsid w:val="003C1B3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C72420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C72420"/>
    <w:rPr>
      <w:b w:val="1"/>
      <w:bCs w:val="1"/>
    </w:rPr>
  </w:style>
  <w:style w:type="character" w:styleId="Collegamentoipertestuale">
    <w:name w:val="Hyperlink"/>
    <w:basedOn w:val="Carpredefinitoparagrafo"/>
    <w:uiPriority w:val="99"/>
    <w:unhideWhenUsed w:val="1"/>
    <w:rsid w:val="00D0385B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D0385B"/>
    <w:rPr>
      <w:color w:val="605e5c"/>
      <w:shd w:color="auto" w:fill="e1dfdd" w:val="clear"/>
    </w:rPr>
  </w:style>
  <w:style w:type="paragraph" w:styleId="NormaleWeb">
    <w:name w:val="Normal (Web)"/>
    <w:basedOn w:val="Normale"/>
    <w:uiPriority w:val="99"/>
    <w:unhideWhenUsed w:val="1"/>
    <w:rsid w:val="00A70894"/>
    <w:pPr>
      <w:spacing w:after="100" w:afterAutospacing="1" w:before="100" w:before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AE1561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 w:val="1"/>
    <w:rsid w:val="00FB3BC2"/>
    <w:rPr>
      <w:b w:val="1"/>
      <w:bCs w:val="1"/>
    </w:rPr>
  </w:style>
  <w:style w:type="character" w:styleId="apple-converted-space" w:customStyle="1">
    <w:name w:val="apple-converted-space"/>
    <w:basedOn w:val="Carpredefinitoparagrafo"/>
    <w:rsid w:val="00FB3BC2"/>
  </w:style>
  <w:style w:type="character" w:styleId="Enfasicorsivo">
    <w:name w:val="Emphasis"/>
    <w:basedOn w:val="Carpredefinitoparagrafo"/>
    <w:uiPriority w:val="20"/>
    <w:qFormat w:val="1"/>
    <w:rsid w:val="00FB3BC2"/>
    <w:rPr>
      <w:i w:val="1"/>
      <w:iCs w:val="1"/>
    </w:rPr>
  </w:style>
  <w:style w:type="character" w:styleId="Nessuno" w:customStyle="1">
    <w:name w:val="Nessuno"/>
    <w:rsid w:val="005A2748"/>
  </w:style>
  <w:style w:type="character" w:styleId="Hyperlink0" w:customStyle="1">
    <w:name w:val="Hyperlink.0"/>
    <w:basedOn w:val="Nessuno"/>
    <w:rsid w:val="005A2748"/>
    <w:rPr>
      <w:rFonts w:ascii="Arial" w:cs="Arial" w:eastAsia="Arial" w:hAnsi="Arial"/>
      <w:outline w:val="0"/>
      <w:color w:val="0000ff"/>
      <w:u w:color="0000ff" w:val="single"/>
    </w:rPr>
  </w:style>
  <w:style w:type="character" w:styleId="Hyperlink1" w:customStyle="1">
    <w:name w:val="Hyperlink.1"/>
    <w:basedOn w:val="Nessuno"/>
    <w:rsid w:val="005A2748"/>
    <w:rPr>
      <w:rFonts w:ascii="Arial" w:cs="Arial" w:eastAsia="Arial" w:hAnsi="Arial"/>
      <w:outline w:val="0"/>
      <w:color w:val="0000ff"/>
      <w:u w:color="0000ff"/>
    </w:rPr>
  </w:style>
  <w:style w:type="character" w:styleId="apple-tab-span" w:customStyle="1">
    <w:name w:val="apple-tab-span"/>
    <w:basedOn w:val="Carpredefinitoparagrafo"/>
    <w:rsid w:val="00DD2619"/>
  </w:style>
  <w:style w:type="paragraph" w:styleId="Intestazione">
    <w:name w:val="header"/>
    <w:basedOn w:val="Normale"/>
    <w:link w:val="IntestazioneCarattere"/>
    <w:uiPriority w:val="99"/>
    <w:semiHidden w:val="1"/>
    <w:unhideWhenUsed w:val="1"/>
    <w:rsid w:val="00701D3A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rsid w:val="00701D3A"/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701D3A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701D3A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LBCZzeet8AIQ0WsuPT9YISDPvQ==">AMUW2mUpgp4AfozWNcwKkWa5vtjSixh7QJEqY6x7IEqIPli+8zLX/2SwK8LBudWaKpYnJ2q1/0IsOnCxqTawLXer3Dq2r68SEZPnRhwbU9+IkqZsmcOwgQA=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2021-10-11T22:27:00Z</dcterms:created>
  <dc:creator>Francesca Bellotto</dc:creator>
</cp:coreProperties>
</file>